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03C9" w14:textId="726EBF30" w:rsidR="00BE3D33" w:rsidRPr="0082533E" w:rsidRDefault="00BE3D33" w:rsidP="00BE3D33">
      <w:pPr>
        <w:jc w:val="center"/>
        <w:rPr>
          <w:sz w:val="52"/>
          <w:szCs w:val="52"/>
        </w:rPr>
      </w:pPr>
      <w:r w:rsidRPr="0082533E">
        <w:rPr>
          <w:sz w:val="52"/>
          <w:szCs w:val="52"/>
        </w:rPr>
        <w:t>Terms of Reference</w:t>
      </w:r>
    </w:p>
    <w:p w14:paraId="1DA99A09" w14:textId="5360ABD6" w:rsidR="00BE3D33" w:rsidRPr="0082533E" w:rsidRDefault="000C51C1" w:rsidP="00BE3D33">
      <w:pPr>
        <w:jc w:val="center"/>
        <w:rPr>
          <w:sz w:val="36"/>
          <w:szCs w:val="36"/>
          <w:u w:val="single"/>
        </w:rPr>
      </w:pPr>
      <w:r w:rsidRPr="0082533E">
        <w:rPr>
          <w:sz w:val="36"/>
          <w:szCs w:val="36"/>
        </w:rPr>
        <w:t xml:space="preserve">Development of Roadmap for Mainstreaming Human Security and Gender Equality into National Border Security Strategies </w:t>
      </w:r>
    </w:p>
    <w:p w14:paraId="317ABD97" w14:textId="34118067" w:rsidR="00BE3D33" w:rsidRPr="00CC02E2" w:rsidRDefault="00BE3D33" w:rsidP="00BE3D33">
      <w:pPr>
        <w:pStyle w:val="ListParagraph"/>
        <w:numPr>
          <w:ilvl w:val="0"/>
          <w:numId w:val="1"/>
        </w:numPr>
        <w:rPr>
          <w:b/>
          <w:bCs/>
        </w:rPr>
      </w:pPr>
      <w:r w:rsidRPr="00CC02E2">
        <w:rPr>
          <w:b/>
          <w:bCs/>
        </w:rPr>
        <w:t>Introduction</w:t>
      </w:r>
    </w:p>
    <w:p w14:paraId="29F5BC2D" w14:textId="55D1B559" w:rsidR="009E2344" w:rsidRDefault="009E2344" w:rsidP="009E2344">
      <w:pPr>
        <w:jc w:val="both"/>
        <w:rPr>
          <w:szCs w:val="24"/>
        </w:rPr>
      </w:pPr>
      <w:r w:rsidRPr="009E2344">
        <w:rPr>
          <w:szCs w:val="24"/>
        </w:rPr>
        <w:t xml:space="preserve">STAR- Ghana Foundation, with funding from the International Organization for Migration (IOM) Ghana, </w:t>
      </w:r>
      <w:r>
        <w:rPr>
          <w:szCs w:val="24"/>
        </w:rPr>
        <w:t>is i</w:t>
      </w:r>
      <w:r w:rsidRPr="009E2344">
        <w:rPr>
          <w:szCs w:val="24"/>
        </w:rPr>
        <w:t>mplement</w:t>
      </w:r>
      <w:r>
        <w:rPr>
          <w:szCs w:val="24"/>
        </w:rPr>
        <w:t>i</w:t>
      </w:r>
      <w:r w:rsidRPr="009E2344">
        <w:rPr>
          <w:szCs w:val="24"/>
        </w:rPr>
        <w:t>n</w:t>
      </w:r>
      <w:r>
        <w:rPr>
          <w:szCs w:val="24"/>
        </w:rPr>
        <w:t>g</w:t>
      </w:r>
      <w:r w:rsidRPr="009E2344">
        <w:rPr>
          <w:szCs w:val="24"/>
        </w:rPr>
        <w:t xml:space="preserve"> the Community cohesion project across six (6) border communities in the Upper East Region of Ghana. The project seeks to enhance communal and social cohesion through the establishment of dialogue platforms as a mechanism for collaborative problem solving around issues of security and socio-economic vulnerabilities in selected border communities. It also seeks to build capacities of members of the community dialogue platforms in relevant areas such as peace, border security, human </w:t>
      </w:r>
      <w:proofErr w:type="gramStart"/>
      <w:r w:rsidRPr="009E2344">
        <w:rPr>
          <w:szCs w:val="24"/>
        </w:rPr>
        <w:t>rights</w:t>
      </w:r>
      <w:proofErr w:type="gramEnd"/>
      <w:r w:rsidRPr="009E2344">
        <w:rPr>
          <w:szCs w:val="24"/>
        </w:rPr>
        <w:t xml:space="preserve"> and gender equality etc, and sensitize the selected border communities on prevailing border security threats. The project will capture lessons from implementation to contribute to the mainstreaming of </w:t>
      </w:r>
      <w:r w:rsidR="005B40C3">
        <w:rPr>
          <w:szCs w:val="24"/>
        </w:rPr>
        <w:t xml:space="preserve">relevant themes/approaches such as </w:t>
      </w:r>
      <w:r w:rsidRPr="009E2344">
        <w:rPr>
          <w:szCs w:val="24"/>
        </w:rPr>
        <w:t>community engagemen</w:t>
      </w:r>
      <w:r w:rsidR="005B40C3">
        <w:rPr>
          <w:szCs w:val="24"/>
        </w:rPr>
        <w:t xml:space="preserve">t, </w:t>
      </w:r>
      <w:r w:rsidRPr="009E2344">
        <w:rPr>
          <w:szCs w:val="24"/>
        </w:rPr>
        <w:t xml:space="preserve">human </w:t>
      </w:r>
      <w:proofErr w:type="gramStart"/>
      <w:r w:rsidRPr="009E2344">
        <w:rPr>
          <w:szCs w:val="24"/>
        </w:rPr>
        <w:t>securit</w:t>
      </w:r>
      <w:r w:rsidR="005B40C3">
        <w:rPr>
          <w:szCs w:val="24"/>
        </w:rPr>
        <w:t>y</w:t>
      </w:r>
      <w:proofErr w:type="gramEnd"/>
      <w:r w:rsidR="005B40C3">
        <w:rPr>
          <w:szCs w:val="24"/>
        </w:rPr>
        <w:t xml:space="preserve"> and </w:t>
      </w:r>
      <w:r w:rsidRPr="009E2344">
        <w:rPr>
          <w:szCs w:val="24"/>
        </w:rPr>
        <w:t>gender equality into</w:t>
      </w:r>
      <w:r w:rsidR="005B40C3">
        <w:rPr>
          <w:szCs w:val="24"/>
        </w:rPr>
        <w:t xml:space="preserve"> </w:t>
      </w:r>
      <w:r w:rsidRPr="009E2344">
        <w:rPr>
          <w:szCs w:val="24"/>
        </w:rPr>
        <w:t>national border security strateg</w:t>
      </w:r>
      <w:r w:rsidR="005B40C3">
        <w:rPr>
          <w:szCs w:val="24"/>
        </w:rPr>
        <w:t>ies</w:t>
      </w:r>
      <w:r w:rsidRPr="009E2344">
        <w:rPr>
          <w:szCs w:val="24"/>
        </w:rPr>
        <w:t xml:space="preserve">. </w:t>
      </w:r>
    </w:p>
    <w:p w14:paraId="34588BB4" w14:textId="0358E614" w:rsidR="004B1C18" w:rsidRDefault="004B1C18" w:rsidP="009E2344">
      <w:pPr>
        <w:jc w:val="both"/>
        <w:rPr>
          <w:szCs w:val="24"/>
        </w:rPr>
      </w:pPr>
      <w:r>
        <w:rPr>
          <w:szCs w:val="24"/>
        </w:rPr>
        <w:t xml:space="preserve">STAR Ghana Foundation is seeking a resource person to lead the development of a Roadmap for Mainstreaming Human Security &amp; Gender Equality into National Border Security Strategies/frameworks. </w:t>
      </w:r>
    </w:p>
    <w:p w14:paraId="71F0F26D" w14:textId="0657CF2A" w:rsidR="005B40C3" w:rsidRPr="009E2344" w:rsidRDefault="004B1C18" w:rsidP="009E2344">
      <w:pPr>
        <w:jc w:val="both"/>
        <w:rPr>
          <w:szCs w:val="24"/>
        </w:rPr>
      </w:pPr>
      <w:r>
        <w:rPr>
          <w:szCs w:val="24"/>
        </w:rPr>
        <w:t xml:space="preserve">These terms of reference describe the scope of the assignment and the </w:t>
      </w:r>
      <w:r w:rsidR="007B4E0D">
        <w:rPr>
          <w:szCs w:val="24"/>
        </w:rPr>
        <w:t xml:space="preserve">expected </w:t>
      </w:r>
      <w:r>
        <w:rPr>
          <w:szCs w:val="24"/>
        </w:rPr>
        <w:t xml:space="preserve">deliverables. </w:t>
      </w:r>
    </w:p>
    <w:p w14:paraId="112A3229" w14:textId="57F79B6A" w:rsidR="00BE3D33" w:rsidRDefault="00BE3D33" w:rsidP="006151B1">
      <w:pPr>
        <w:pStyle w:val="ListParagraph"/>
        <w:numPr>
          <w:ilvl w:val="0"/>
          <w:numId w:val="1"/>
        </w:numPr>
        <w:spacing w:after="0"/>
        <w:contextualSpacing w:val="0"/>
        <w:rPr>
          <w:b/>
          <w:bCs/>
        </w:rPr>
      </w:pPr>
      <w:r w:rsidRPr="00CC02E2">
        <w:rPr>
          <w:b/>
          <w:bCs/>
        </w:rPr>
        <w:t>Background</w:t>
      </w:r>
    </w:p>
    <w:p w14:paraId="511225B9" w14:textId="77777777" w:rsidR="001444E7" w:rsidRPr="00CC02E2" w:rsidRDefault="001444E7" w:rsidP="001444E7">
      <w:pPr>
        <w:pStyle w:val="ListParagraph"/>
        <w:spacing w:after="0"/>
        <w:ind w:left="360"/>
        <w:contextualSpacing w:val="0"/>
        <w:rPr>
          <w:b/>
          <w:bCs/>
        </w:rPr>
      </w:pPr>
    </w:p>
    <w:p w14:paraId="146A39A6" w14:textId="227059C5" w:rsidR="00132139" w:rsidRPr="009E2344" w:rsidRDefault="00132139" w:rsidP="001444E7">
      <w:pPr>
        <w:jc w:val="both"/>
      </w:pPr>
      <w:r w:rsidRPr="009E2344">
        <w:t xml:space="preserve">Although Ghana enjoys relative stability compared to its neighbors in the West African </w:t>
      </w:r>
      <w:r w:rsidR="0082533E">
        <w:t>sub-</w:t>
      </w:r>
      <w:r w:rsidRPr="009E2344">
        <w:t>region, recent developments in the Sahel suggest that no country in the sub-region is safe from the activities of Violent Extremist Organi</w:t>
      </w:r>
      <w:r w:rsidR="009E2344">
        <w:t>z</w:t>
      </w:r>
      <w:r w:rsidRPr="009E2344">
        <w:t>ations (VEOs). The activities of these organi</w:t>
      </w:r>
      <w:r w:rsidR="009E2344">
        <w:t>z</w:t>
      </w:r>
      <w:r w:rsidRPr="009E2344">
        <w:t>ations have spread beyond the Sahel and are now targeting the northern regions of littoral West African countries including Ghana. Apart from the activities of these VEOs, unresolved conflicts</w:t>
      </w:r>
      <w:r w:rsidR="0082533E">
        <w:t xml:space="preserve"> </w:t>
      </w:r>
      <w:r w:rsidRPr="009E2344">
        <w:t xml:space="preserve">particularly in northern Ghana, could be exploited by VEOs to infiltrate into the country. </w:t>
      </w:r>
    </w:p>
    <w:p w14:paraId="4A325EE2" w14:textId="0D85DC8A" w:rsidR="00132139" w:rsidRPr="009E2344" w:rsidRDefault="00132139" w:rsidP="0033698A">
      <w:pPr>
        <w:jc w:val="both"/>
      </w:pPr>
      <w:r w:rsidRPr="009E2344">
        <w:t xml:space="preserve">Other drivers including growing inequalities, socio-economic grievances, growing distrust between communities and local/state authorities, particularly the security agencies, as well as porous borders between some communities in Northern Ghana and neighboring countries account for Ghana’s increasing vulnerability to the activities of VEO. </w:t>
      </w:r>
      <w:proofErr w:type="gramStart"/>
      <w:r w:rsidRPr="009E2344">
        <w:t>A number of</w:t>
      </w:r>
      <w:proofErr w:type="gramEnd"/>
      <w:r w:rsidRPr="009E2344">
        <w:t xml:space="preserve"> actors including the Government of Ghana (GoG) </w:t>
      </w:r>
      <w:r w:rsidRPr="009E2344">
        <w:lastRenderedPageBreak/>
        <w:t xml:space="preserve">have initiated </w:t>
      </w:r>
      <w:r w:rsidR="0033698A" w:rsidRPr="009E2344">
        <w:t xml:space="preserve">a raft of measures – both traditional and human security, </w:t>
      </w:r>
      <w:r w:rsidRPr="009E2344">
        <w:t xml:space="preserve">in response to this situation with the aim to build capacity to prevent and when necessary, counter violent extremism. </w:t>
      </w:r>
    </w:p>
    <w:p w14:paraId="096EEC2E" w14:textId="6F5484C6" w:rsidR="00132139" w:rsidRPr="009E2344" w:rsidRDefault="00132139" w:rsidP="0033698A">
      <w:pPr>
        <w:jc w:val="both"/>
      </w:pPr>
      <w:r w:rsidRPr="009E2344">
        <w:t>The International Organi</w:t>
      </w:r>
      <w:r w:rsidR="0082533E">
        <w:t>z</w:t>
      </w:r>
      <w:r w:rsidRPr="009E2344">
        <w:t xml:space="preserve">ation for Migration (IOM) in Ghana has conducted a security perception survey in selected communities – </w:t>
      </w:r>
      <w:proofErr w:type="spellStart"/>
      <w:r w:rsidRPr="009E2344">
        <w:t>Pulmakom</w:t>
      </w:r>
      <w:proofErr w:type="spellEnd"/>
      <w:r w:rsidRPr="009E2344">
        <w:t xml:space="preserve">, </w:t>
      </w:r>
      <w:proofErr w:type="spellStart"/>
      <w:r w:rsidRPr="009E2344">
        <w:t>Namoo</w:t>
      </w:r>
      <w:proofErr w:type="spellEnd"/>
      <w:r w:rsidRPr="009E2344">
        <w:t xml:space="preserve">, </w:t>
      </w:r>
      <w:proofErr w:type="spellStart"/>
      <w:r w:rsidRPr="009E2344">
        <w:t>Pusiga</w:t>
      </w:r>
      <w:proofErr w:type="spellEnd"/>
      <w:r w:rsidRPr="009E2344">
        <w:t xml:space="preserve">, </w:t>
      </w:r>
      <w:proofErr w:type="spellStart"/>
      <w:r w:rsidRPr="009E2344">
        <w:t>Kulungugu</w:t>
      </w:r>
      <w:proofErr w:type="spellEnd"/>
      <w:r w:rsidRPr="009E2344">
        <w:t xml:space="preserve">, </w:t>
      </w:r>
      <w:proofErr w:type="spellStart"/>
      <w:r w:rsidRPr="009E2344">
        <w:t>Paga</w:t>
      </w:r>
      <w:proofErr w:type="spellEnd"/>
      <w:r w:rsidRPr="009E2344">
        <w:t xml:space="preserve"> and </w:t>
      </w:r>
      <w:proofErr w:type="spellStart"/>
      <w:r w:rsidRPr="009E2344">
        <w:t>Mognori</w:t>
      </w:r>
      <w:proofErr w:type="spellEnd"/>
      <w:r w:rsidRPr="009E2344">
        <w:t xml:space="preserve">, </w:t>
      </w:r>
      <w:r w:rsidR="0033698A" w:rsidRPr="009E2344">
        <w:t xml:space="preserve">in the Upper East Region </w:t>
      </w:r>
      <w:r w:rsidRPr="009E2344">
        <w:t xml:space="preserve">to understand the views of various demographics of the communities on the causes of insecurity at the border regions and ways security could be strengthened. These surveys are accompanied by </w:t>
      </w:r>
      <w:r w:rsidR="0033698A" w:rsidRPr="009E2344">
        <w:t xml:space="preserve">a mix of </w:t>
      </w:r>
      <w:r w:rsidRPr="009E2344">
        <w:t>community dialogue</w:t>
      </w:r>
      <w:r w:rsidR="00B04426" w:rsidRPr="009E2344">
        <w:t>/engagements</w:t>
      </w:r>
      <w:r w:rsidRPr="009E2344">
        <w:t xml:space="preserve"> </w:t>
      </w:r>
      <w:r w:rsidR="0082533E">
        <w:t xml:space="preserve">and other </w:t>
      </w:r>
      <w:r w:rsidR="00B04426" w:rsidRPr="009E2344">
        <w:t xml:space="preserve">human security interventions to </w:t>
      </w:r>
      <w:r w:rsidRPr="009E2344">
        <w:t>foster</w:t>
      </w:r>
      <w:r w:rsidR="00B04426" w:rsidRPr="009E2344">
        <w:t xml:space="preserve"> </w:t>
      </w:r>
      <w:r w:rsidRPr="009E2344">
        <w:t xml:space="preserve">dialogue and collaboration between the communities and border management agencies to </w:t>
      </w:r>
      <w:r w:rsidR="00C23687">
        <w:t>create</w:t>
      </w:r>
      <w:r w:rsidRPr="009E2344">
        <w:t xml:space="preserve"> a shared sense of ownership of governance and security challenges in the communities, while also reinforcing social cohesion and community resilience. </w:t>
      </w:r>
    </w:p>
    <w:p w14:paraId="3B472835" w14:textId="7F05ECA0" w:rsidR="00750344" w:rsidRPr="009E2344" w:rsidRDefault="00132139" w:rsidP="00750344">
      <w:pPr>
        <w:jc w:val="both"/>
      </w:pPr>
      <w:r w:rsidRPr="009E2344">
        <w:t xml:space="preserve">In </w:t>
      </w:r>
      <w:r w:rsidR="00750344" w:rsidRPr="009E2344">
        <w:t>addition to the</w:t>
      </w:r>
      <w:r w:rsidR="0047272F" w:rsidRPr="009E2344">
        <w:t>se</w:t>
      </w:r>
      <w:r w:rsidR="00750344" w:rsidRPr="009E2344">
        <w:t xml:space="preserve"> set of actions being implemented </w:t>
      </w:r>
      <w:r w:rsidR="0047272F" w:rsidRPr="009E2344">
        <w:t xml:space="preserve">in the communities; </w:t>
      </w:r>
      <w:r w:rsidR="00C23687">
        <w:t>the project</w:t>
      </w:r>
      <w:r w:rsidR="0047272F" w:rsidRPr="009E2344">
        <w:t xml:space="preserve"> intends to develop a Roadmap for Mainstreaming Human Security and Gender Equality into the </w:t>
      </w:r>
      <w:r w:rsidR="00C23687" w:rsidRPr="009E2344">
        <w:t xml:space="preserve">National Border Security </w:t>
      </w:r>
      <w:r w:rsidR="0047272F" w:rsidRPr="009E2344">
        <w:t xml:space="preserve">framework. This </w:t>
      </w:r>
      <w:r w:rsidR="00B827C2" w:rsidRPr="009E2344">
        <w:t xml:space="preserve">is intended to </w:t>
      </w:r>
      <w:r w:rsidR="00C23687">
        <w:t xml:space="preserve">recommend </w:t>
      </w:r>
      <w:r w:rsidR="00B827C2" w:rsidRPr="009E2344">
        <w:t xml:space="preserve">lessons </w:t>
      </w:r>
      <w:r w:rsidR="00C23687">
        <w:t xml:space="preserve">and reflections </w:t>
      </w:r>
      <w:r w:rsidR="00B827C2" w:rsidRPr="009E2344">
        <w:t xml:space="preserve">on human security and gender equality at the community level to inform relevant national strategies and frameworks for ensuring border </w:t>
      </w:r>
      <w:proofErr w:type="gramStart"/>
      <w:r w:rsidR="00B827C2" w:rsidRPr="009E2344">
        <w:t>security in particular, and</w:t>
      </w:r>
      <w:proofErr w:type="gramEnd"/>
      <w:r w:rsidR="00B827C2" w:rsidRPr="009E2344">
        <w:t xml:space="preserve"> broader national stability and security. </w:t>
      </w:r>
    </w:p>
    <w:p w14:paraId="6AC0E0A5" w14:textId="1690E742" w:rsidR="00AC4951" w:rsidRPr="00CC02E2" w:rsidRDefault="00AC4951" w:rsidP="00597ABD">
      <w:pPr>
        <w:pStyle w:val="ListParagraph"/>
        <w:numPr>
          <w:ilvl w:val="0"/>
          <w:numId w:val="1"/>
        </w:numPr>
        <w:spacing w:after="0"/>
        <w:contextualSpacing w:val="0"/>
        <w:rPr>
          <w:b/>
          <w:bCs/>
        </w:rPr>
      </w:pPr>
      <w:r w:rsidRPr="00CC02E2">
        <w:rPr>
          <w:b/>
          <w:bCs/>
        </w:rPr>
        <w:t>Purpose and Scope of Assignment</w:t>
      </w:r>
    </w:p>
    <w:p w14:paraId="43A32783" w14:textId="04B55842" w:rsidR="00E90677" w:rsidRDefault="00137F6F" w:rsidP="00C23687">
      <w:pPr>
        <w:jc w:val="both"/>
      </w:pPr>
      <w:r w:rsidRPr="00137F6F">
        <w:t>Th</w:t>
      </w:r>
      <w:r>
        <w:t>e purpose of the assignment is to</w:t>
      </w:r>
      <w:r w:rsidR="00A91026">
        <w:t xml:space="preserve"> develop a Roadmap for Mainstreaming Human Security and Gender Equality into National Border Security Strategies/frameworks. Acting as  </w:t>
      </w:r>
      <w:r w:rsidR="00B23B60">
        <w:t xml:space="preserve"> a resource person</w:t>
      </w:r>
      <w:r w:rsidR="00C23687">
        <w:t xml:space="preserve">, </w:t>
      </w:r>
      <w:r w:rsidR="00A91026">
        <w:t xml:space="preserve">the consultant, in collaboration with the SGF team will </w:t>
      </w:r>
      <w:r w:rsidR="00B23B60">
        <w:t xml:space="preserve">lead consultations and </w:t>
      </w:r>
      <w:r w:rsidR="00C23687">
        <w:t>harmonis</w:t>
      </w:r>
      <w:r w:rsidR="00A91026">
        <w:t>e</w:t>
      </w:r>
      <w:r w:rsidR="00C23687">
        <w:t xml:space="preserve"> outputs from these and relevant sources </w:t>
      </w:r>
      <w:r w:rsidR="00A91026">
        <w:t xml:space="preserve">as inputs into drafting the roadmap. </w:t>
      </w:r>
    </w:p>
    <w:p w14:paraId="60DBED0D" w14:textId="53EEFBD0" w:rsidR="00AE3B72" w:rsidRDefault="00AE3B72" w:rsidP="00AE3B72">
      <w:pPr>
        <w:spacing w:after="0"/>
      </w:pPr>
      <w:r>
        <w:t>The assignment will cover:</w:t>
      </w:r>
    </w:p>
    <w:p w14:paraId="751F7A6C" w14:textId="4A296E33" w:rsidR="00F11E13" w:rsidRDefault="00367BED" w:rsidP="00F11E13">
      <w:pPr>
        <w:pStyle w:val="ListParagraph"/>
        <w:numPr>
          <w:ilvl w:val="0"/>
          <w:numId w:val="9"/>
        </w:numPr>
        <w:spacing w:after="0"/>
        <w:contextualSpacing w:val="0"/>
      </w:pPr>
      <w:r>
        <w:t xml:space="preserve">Relevant literature review and expert interviews </w:t>
      </w:r>
    </w:p>
    <w:p w14:paraId="32757B43" w14:textId="64707025" w:rsidR="00367BED" w:rsidRDefault="00165410" w:rsidP="00F11E13">
      <w:pPr>
        <w:pStyle w:val="ListParagraph"/>
        <w:numPr>
          <w:ilvl w:val="0"/>
          <w:numId w:val="9"/>
        </w:numPr>
        <w:spacing w:after="0"/>
        <w:contextualSpacing w:val="0"/>
      </w:pPr>
      <w:r>
        <w:t xml:space="preserve">Production of an interim report based on literature review </w:t>
      </w:r>
    </w:p>
    <w:p w14:paraId="5F5FCCC0" w14:textId="718BE0A6" w:rsidR="00AE3B72" w:rsidRDefault="00165410" w:rsidP="00477984">
      <w:pPr>
        <w:pStyle w:val="ListParagraph"/>
        <w:numPr>
          <w:ilvl w:val="0"/>
          <w:numId w:val="9"/>
        </w:numPr>
        <w:spacing w:after="0"/>
      </w:pPr>
      <w:r>
        <w:t xml:space="preserve">Facilitate </w:t>
      </w:r>
      <w:r w:rsidR="00477984">
        <w:t>two</w:t>
      </w:r>
      <w:r>
        <w:t xml:space="preserve"> consultation workshop</w:t>
      </w:r>
      <w:r w:rsidR="00A91026">
        <w:t>s</w:t>
      </w:r>
      <w:r w:rsidR="00477984">
        <w:t xml:space="preserve">– one </w:t>
      </w:r>
      <w:r w:rsidR="009B67A3">
        <w:t>with a</w:t>
      </w:r>
      <w:r>
        <w:t xml:space="preserve"> security working group and a</w:t>
      </w:r>
      <w:r w:rsidR="00477984">
        <w:t>nother with</w:t>
      </w:r>
      <w:r>
        <w:t xml:space="preserve"> non-security working group </w:t>
      </w:r>
      <w:r w:rsidR="00477984">
        <w:t xml:space="preserve">(both in Accra) </w:t>
      </w:r>
      <w:r>
        <w:t>to gather data/inputs for the</w:t>
      </w:r>
      <w:r w:rsidR="0024707F">
        <w:t xml:space="preserve"> development of the</w:t>
      </w:r>
      <w:r>
        <w:t xml:space="preserve"> roadmap</w:t>
      </w:r>
    </w:p>
    <w:p w14:paraId="20E664EE" w14:textId="7726B84D" w:rsidR="00165410" w:rsidRDefault="00165410" w:rsidP="00AE3B72">
      <w:pPr>
        <w:pStyle w:val="ListParagraph"/>
        <w:numPr>
          <w:ilvl w:val="0"/>
          <w:numId w:val="9"/>
        </w:numPr>
        <w:spacing w:after="0"/>
      </w:pPr>
      <w:r>
        <w:t xml:space="preserve">Harmonize inputs from consultations, </w:t>
      </w:r>
      <w:proofErr w:type="gramStart"/>
      <w:r>
        <w:t>reviews</w:t>
      </w:r>
      <w:proofErr w:type="gramEnd"/>
      <w:r>
        <w:t xml:space="preserve"> and interviews to develop a final roadmap for mainstreaming human security and gender equality into national border management security strategies </w:t>
      </w:r>
    </w:p>
    <w:p w14:paraId="7533DDB3" w14:textId="77777777" w:rsidR="00CC02E2" w:rsidRPr="0024707F" w:rsidRDefault="00CC02E2" w:rsidP="00AC4951">
      <w:pPr>
        <w:pStyle w:val="ListParagraph"/>
        <w:rPr>
          <w:sz w:val="12"/>
          <w:szCs w:val="10"/>
        </w:rPr>
      </w:pPr>
    </w:p>
    <w:p w14:paraId="50049DE0" w14:textId="00B1A29A" w:rsidR="00AC4951" w:rsidRPr="00CC02E2" w:rsidRDefault="005C3BF1" w:rsidP="006151B1">
      <w:pPr>
        <w:pStyle w:val="ListParagraph"/>
        <w:numPr>
          <w:ilvl w:val="0"/>
          <w:numId w:val="1"/>
        </w:numPr>
        <w:spacing w:after="0"/>
        <w:contextualSpacing w:val="0"/>
        <w:rPr>
          <w:b/>
          <w:bCs/>
        </w:rPr>
      </w:pPr>
      <w:r w:rsidRPr="00CC02E2">
        <w:rPr>
          <w:b/>
          <w:bCs/>
        </w:rPr>
        <w:t>Approach</w:t>
      </w:r>
    </w:p>
    <w:p w14:paraId="3CF498B1" w14:textId="3042A545" w:rsidR="00F11E13" w:rsidRPr="006A30EC" w:rsidRDefault="009F744C" w:rsidP="00F11E13">
      <w:pPr>
        <w:jc w:val="both"/>
      </w:pPr>
      <w:r>
        <w:t xml:space="preserve">This assignment will be analytical in nature, involving secondary data through review of relevant literature, and primary data through expert interviews and group consultations </w:t>
      </w:r>
      <w:r w:rsidR="0024707F">
        <w:t>with</w:t>
      </w:r>
      <w:r>
        <w:t xml:space="preserve"> subject </w:t>
      </w:r>
      <w:r w:rsidR="0024707F">
        <w:t>area</w:t>
      </w:r>
      <w:r>
        <w:t xml:space="preserve"> </w:t>
      </w:r>
      <w:r w:rsidR="0024707F">
        <w:t>practitioners</w:t>
      </w:r>
      <w:r>
        <w:t xml:space="preserve"> and actors</w:t>
      </w:r>
      <w:r w:rsidR="00F11E13" w:rsidRPr="006A30EC">
        <w:t xml:space="preserve">. </w:t>
      </w:r>
      <w:r w:rsidR="00574D5D">
        <w:t xml:space="preserve">It will also involve </w:t>
      </w:r>
      <w:r w:rsidR="00574D5D">
        <w:lastRenderedPageBreak/>
        <w:t xml:space="preserve">incorporating relevant lessons from interventions implemented in border communities </w:t>
      </w:r>
      <w:proofErr w:type="gramStart"/>
      <w:r w:rsidR="00574D5D">
        <w:t>and also</w:t>
      </w:r>
      <w:proofErr w:type="gramEnd"/>
      <w:r w:rsidR="00574D5D">
        <w:t xml:space="preserve"> draw from other best practices.  </w:t>
      </w:r>
    </w:p>
    <w:p w14:paraId="0E9295BF" w14:textId="15395018" w:rsidR="00F11E13" w:rsidRPr="006A30EC" w:rsidRDefault="00F11E13" w:rsidP="00F11E13">
      <w:pPr>
        <w:jc w:val="both"/>
      </w:pPr>
      <w:r w:rsidRPr="006A30EC">
        <w:t xml:space="preserve">The </w:t>
      </w:r>
      <w:r w:rsidR="00D25611">
        <w:t xml:space="preserve">resource person is expected to </w:t>
      </w:r>
      <w:r w:rsidRPr="006A30EC">
        <w:t xml:space="preserve">propose a detailed methodology </w:t>
      </w:r>
      <w:r w:rsidR="00D25611">
        <w:t xml:space="preserve">and report structure at commencement of the assignment </w:t>
      </w:r>
    </w:p>
    <w:p w14:paraId="39B790B6" w14:textId="11B0EEC5" w:rsidR="005C3BF1" w:rsidRPr="00B02AED" w:rsidRDefault="005C3BF1" w:rsidP="00B02AED">
      <w:pPr>
        <w:pStyle w:val="ListParagraph"/>
        <w:numPr>
          <w:ilvl w:val="0"/>
          <w:numId w:val="1"/>
        </w:numPr>
        <w:rPr>
          <w:b/>
          <w:bCs/>
        </w:rPr>
      </w:pPr>
      <w:r w:rsidRPr="00B02AED">
        <w:rPr>
          <w:b/>
          <w:bCs/>
        </w:rPr>
        <w:t>Deliverables and Tasks</w:t>
      </w:r>
    </w:p>
    <w:tbl>
      <w:tblPr>
        <w:tblStyle w:val="TableGrid"/>
        <w:tblW w:w="9067" w:type="dxa"/>
        <w:tblLook w:val="04A0" w:firstRow="1" w:lastRow="0" w:firstColumn="1" w:lastColumn="0" w:noHBand="0" w:noVBand="1"/>
      </w:tblPr>
      <w:tblGrid>
        <w:gridCol w:w="3145"/>
        <w:gridCol w:w="5922"/>
      </w:tblGrid>
      <w:tr w:rsidR="004D399C" w14:paraId="2CC0BB18" w14:textId="77777777" w:rsidTr="00A615FB">
        <w:tc>
          <w:tcPr>
            <w:tcW w:w="3145" w:type="dxa"/>
          </w:tcPr>
          <w:p w14:paraId="6DFC286C" w14:textId="62126E41" w:rsidR="004D399C" w:rsidRPr="00B02AED" w:rsidRDefault="004D399C" w:rsidP="00B02AED">
            <w:pPr>
              <w:jc w:val="center"/>
              <w:rPr>
                <w:i/>
                <w:iCs/>
                <w:u w:val="single"/>
              </w:rPr>
            </w:pPr>
            <w:r>
              <w:rPr>
                <w:i/>
                <w:iCs/>
                <w:u w:val="single"/>
              </w:rPr>
              <w:t>Deliverable</w:t>
            </w:r>
          </w:p>
        </w:tc>
        <w:tc>
          <w:tcPr>
            <w:tcW w:w="5922" w:type="dxa"/>
          </w:tcPr>
          <w:p w14:paraId="7DA7A4B4" w14:textId="6A736BF1" w:rsidR="004D399C" w:rsidRPr="00B02AED" w:rsidRDefault="004D399C" w:rsidP="00B02AED">
            <w:pPr>
              <w:jc w:val="center"/>
              <w:rPr>
                <w:i/>
                <w:iCs/>
                <w:u w:val="single"/>
              </w:rPr>
            </w:pPr>
            <w:r>
              <w:rPr>
                <w:i/>
                <w:iCs/>
                <w:u w:val="single"/>
              </w:rPr>
              <w:t>Tasks</w:t>
            </w:r>
          </w:p>
        </w:tc>
      </w:tr>
      <w:tr w:rsidR="004D399C" w14:paraId="603545B7" w14:textId="77777777" w:rsidTr="00A615FB">
        <w:tc>
          <w:tcPr>
            <w:tcW w:w="3145" w:type="dxa"/>
          </w:tcPr>
          <w:p w14:paraId="78D647DB" w14:textId="6533A5D2" w:rsidR="004D399C" w:rsidRDefault="00A615FB" w:rsidP="00B02AED">
            <w:pPr>
              <w:pStyle w:val="ListParagraph"/>
              <w:numPr>
                <w:ilvl w:val="0"/>
                <w:numId w:val="10"/>
              </w:numPr>
            </w:pPr>
            <w:r>
              <w:t>Detailed approach/methodology and report structure</w:t>
            </w:r>
          </w:p>
        </w:tc>
        <w:tc>
          <w:tcPr>
            <w:tcW w:w="5922" w:type="dxa"/>
          </w:tcPr>
          <w:p w14:paraId="45D7C22A" w14:textId="77777777" w:rsidR="004D399C" w:rsidRDefault="004D399C" w:rsidP="00B02AED">
            <w:pPr>
              <w:pStyle w:val="ListParagraph"/>
              <w:numPr>
                <w:ilvl w:val="0"/>
                <w:numId w:val="11"/>
              </w:numPr>
            </w:pPr>
            <w:r>
              <w:t>Participate in inception meeting with SGF</w:t>
            </w:r>
          </w:p>
          <w:p w14:paraId="4F8F88FB" w14:textId="6C7AA8F6" w:rsidR="004D399C" w:rsidRDefault="00A615FB" w:rsidP="0024707F">
            <w:pPr>
              <w:pStyle w:val="ListParagraph"/>
              <w:numPr>
                <w:ilvl w:val="0"/>
                <w:numId w:val="11"/>
              </w:numPr>
            </w:pPr>
            <w:r>
              <w:t>Present proposed methodology and report structure to SGF for feedback</w:t>
            </w:r>
          </w:p>
        </w:tc>
      </w:tr>
      <w:tr w:rsidR="004D399C" w14:paraId="5086E16B" w14:textId="77777777" w:rsidTr="00A615FB">
        <w:tc>
          <w:tcPr>
            <w:tcW w:w="3145" w:type="dxa"/>
          </w:tcPr>
          <w:p w14:paraId="76C057C4" w14:textId="5EE94490" w:rsidR="004D399C" w:rsidRDefault="00A615FB" w:rsidP="00B02AED">
            <w:pPr>
              <w:pStyle w:val="ListParagraph"/>
              <w:numPr>
                <w:ilvl w:val="0"/>
                <w:numId w:val="10"/>
              </w:numPr>
            </w:pPr>
            <w:r>
              <w:t>Interim Report</w:t>
            </w:r>
          </w:p>
        </w:tc>
        <w:tc>
          <w:tcPr>
            <w:tcW w:w="5922" w:type="dxa"/>
          </w:tcPr>
          <w:p w14:paraId="4BF3F5AF" w14:textId="3C746698" w:rsidR="004D399C" w:rsidRDefault="00A615FB" w:rsidP="00A615FB">
            <w:pPr>
              <w:pStyle w:val="ListParagraph"/>
              <w:numPr>
                <w:ilvl w:val="0"/>
                <w:numId w:val="11"/>
              </w:numPr>
            </w:pPr>
            <w:r>
              <w:t>Prepare and submit interim report covering synthesis from literature review and expert interviews</w:t>
            </w:r>
            <w:r w:rsidR="00BB4B8D">
              <w:t xml:space="preserve"> ahead of consultation workshop</w:t>
            </w:r>
          </w:p>
        </w:tc>
      </w:tr>
      <w:tr w:rsidR="004D399C" w14:paraId="0007B2C0" w14:textId="77777777" w:rsidTr="00A615FB">
        <w:tc>
          <w:tcPr>
            <w:tcW w:w="3145" w:type="dxa"/>
          </w:tcPr>
          <w:p w14:paraId="6182A2DB" w14:textId="78BD162F" w:rsidR="004D399C" w:rsidRDefault="00A615FB" w:rsidP="00B02AED">
            <w:pPr>
              <w:pStyle w:val="ListParagraph"/>
              <w:numPr>
                <w:ilvl w:val="0"/>
                <w:numId w:val="10"/>
              </w:numPr>
            </w:pPr>
            <w:r>
              <w:t>Facilitate consultation workshop</w:t>
            </w:r>
          </w:p>
        </w:tc>
        <w:tc>
          <w:tcPr>
            <w:tcW w:w="5922" w:type="dxa"/>
          </w:tcPr>
          <w:p w14:paraId="33F5EF4C" w14:textId="61314FA6" w:rsidR="004D399C" w:rsidRDefault="00A615FB" w:rsidP="000A6F02">
            <w:pPr>
              <w:pStyle w:val="ListParagraph"/>
              <w:numPr>
                <w:ilvl w:val="0"/>
                <w:numId w:val="11"/>
              </w:numPr>
            </w:pPr>
            <w:r>
              <w:t xml:space="preserve">Propose participants </w:t>
            </w:r>
            <w:r w:rsidR="00BB4B8D">
              <w:t>for</w:t>
            </w:r>
            <w:r>
              <w:t xml:space="preserve"> consultation workshops </w:t>
            </w:r>
          </w:p>
          <w:p w14:paraId="6BAE955B" w14:textId="686A8647" w:rsidR="00A615FB" w:rsidRDefault="00A615FB" w:rsidP="000A6F02">
            <w:pPr>
              <w:pStyle w:val="ListParagraph"/>
              <w:numPr>
                <w:ilvl w:val="0"/>
                <w:numId w:val="11"/>
              </w:numPr>
            </w:pPr>
            <w:r>
              <w:t xml:space="preserve">Develop and share a guide for facilitating workshops to generate relevant inputs </w:t>
            </w:r>
          </w:p>
        </w:tc>
      </w:tr>
      <w:tr w:rsidR="004D399C" w14:paraId="032ECFF1" w14:textId="77777777" w:rsidTr="00A615FB">
        <w:tc>
          <w:tcPr>
            <w:tcW w:w="3145" w:type="dxa"/>
          </w:tcPr>
          <w:p w14:paraId="426121A7" w14:textId="28BFF8C9" w:rsidR="004D399C" w:rsidRDefault="00A615FB" w:rsidP="00B02AED">
            <w:pPr>
              <w:pStyle w:val="ListParagraph"/>
              <w:numPr>
                <w:ilvl w:val="0"/>
                <w:numId w:val="10"/>
              </w:numPr>
            </w:pPr>
            <w:r>
              <w:t xml:space="preserve">Final </w:t>
            </w:r>
            <w:r w:rsidR="001B1A24">
              <w:t>roadmap</w:t>
            </w:r>
          </w:p>
        </w:tc>
        <w:tc>
          <w:tcPr>
            <w:tcW w:w="5922" w:type="dxa"/>
          </w:tcPr>
          <w:p w14:paraId="6D14AD29" w14:textId="5ED2A3D1" w:rsidR="004D399C" w:rsidRDefault="004D399C" w:rsidP="004D399C">
            <w:pPr>
              <w:pStyle w:val="ListParagraph"/>
              <w:numPr>
                <w:ilvl w:val="0"/>
                <w:numId w:val="11"/>
              </w:numPr>
            </w:pPr>
            <w:r>
              <w:t>Produce draft r</w:t>
            </w:r>
            <w:r w:rsidR="00A615FB">
              <w:t>oadmap</w:t>
            </w:r>
            <w:r>
              <w:t>, in the agreed format</w:t>
            </w:r>
          </w:p>
          <w:p w14:paraId="2354DC76" w14:textId="3E395D3E" w:rsidR="004D399C" w:rsidRDefault="004D399C" w:rsidP="004D399C">
            <w:pPr>
              <w:pStyle w:val="ListParagraph"/>
              <w:numPr>
                <w:ilvl w:val="0"/>
                <w:numId w:val="11"/>
              </w:numPr>
            </w:pPr>
            <w:r>
              <w:t>Produce final report based on SGF feedback</w:t>
            </w:r>
          </w:p>
        </w:tc>
      </w:tr>
    </w:tbl>
    <w:p w14:paraId="1286D605" w14:textId="77777777" w:rsidR="00121568" w:rsidRPr="00BB4B8D" w:rsidRDefault="00121568">
      <w:pPr>
        <w:rPr>
          <w:sz w:val="8"/>
          <w:szCs w:val="6"/>
        </w:rPr>
      </w:pPr>
    </w:p>
    <w:p w14:paraId="45435C1C" w14:textId="77777777" w:rsidR="00BF64FA" w:rsidRPr="001D1221" w:rsidRDefault="00BF64FA" w:rsidP="00BF64FA">
      <w:pPr>
        <w:pStyle w:val="ListParagraph"/>
        <w:numPr>
          <w:ilvl w:val="0"/>
          <w:numId w:val="13"/>
        </w:numPr>
        <w:spacing w:line="276" w:lineRule="auto"/>
        <w:jc w:val="both"/>
        <w:rPr>
          <w:rFonts w:ascii="Arial" w:hAnsi="Arial" w:cs="Arial"/>
          <w:b/>
          <w:bCs/>
          <w:szCs w:val="24"/>
        </w:rPr>
      </w:pPr>
      <w:r w:rsidRPr="001D1221">
        <w:rPr>
          <w:rFonts w:ascii="Arial" w:hAnsi="Arial" w:cs="Arial"/>
          <w:b/>
          <w:bCs/>
          <w:szCs w:val="24"/>
        </w:rPr>
        <w:t>Relationships</w:t>
      </w:r>
    </w:p>
    <w:p w14:paraId="44317AC9" w14:textId="77777777" w:rsidR="00BF64FA" w:rsidRPr="00D86AF9" w:rsidRDefault="00BF64FA" w:rsidP="00BF64FA">
      <w:pPr>
        <w:pStyle w:val="ListParagraph"/>
        <w:spacing w:line="276" w:lineRule="auto"/>
        <w:jc w:val="both"/>
        <w:rPr>
          <w:rFonts w:ascii="Arial" w:hAnsi="Arial" w:cs="Arial"/>
          <w:b/>
          <w:bCs/>
          <w:sz w:val="4"/>
          <w:szCs w:val="4"/>
        </w:rPr>
      </w:pPr>
    </w:p>
    <w:p w14:paraId="394037FA" w14:textId="0636528C" w:rsidR="00BF64FA" w:rsidRPr="00121568" w:rsidRDefault="00BF64FA" w:rsidP="00BF64FA">
      <w:pPr>
        <w:pStyle w:val="ListParagraph"/>
        <w:numPr>
          <w:ilvl w:val="0"/>
          <w:numId w:val="12"/>
        </w:numPr>
        <w:spacing w:line="276" w:lineRule="auto"/>
        <w:jc w:val="both"/>
      </w:pPr>
      <w:r w:rsidRPr="00121568">
        <w:t xml:space="preserve">The Executive Director of STAR Ghana Foundation, supported by the Head of Programmes, will be the main interface between the </w:t>
      </w:r>
      <w:r w:rsidR="00A615FB">
        <w:t>resource person</w:t>
      </w:r>
      <w:r w:rsidRPr="00121568">
        <w:t xml:space="preserve"> and the Foundation. They will provide strategic level support and information necessary for the timely execution of deliverables </w:t>
      </w:r>
    </w:p>
    <w:p w14:paraId="6FB04C2E" w14:textId="0E4B1E39" w:rsidR="00BF64FA" w:rsidRPr="00121568" w:rsidRDefault="00BF64FA" w:rsidP="00BF64FA">
      <w:pPr>
        <w:pStyle w:val="ListParagraph"/>
        <w:numPr>
          <w:ilvl w:val="0"/>
          <w:numId w:val="12"/>
        </w:numPr>
        <w:spacing w:after="240" w:line="276" w:lineRule="auto"/>
        <w:contextualSpacing w:val="0"/>
        <w:jc w:val="both"/>
      </w:pPr>
      <w:r w:rsidRPr="00121568">
        <w:t xml:space="preserve">The Project Manager will provide logistical and operational support to the </w:t>
      </w:r>
      <w:r w:rsidR="00A615FB">
        <w:t xml:space="preserve">resource person </w:t>
      </w:r>
      <w:r w:rsidRPr="00121568">
        <w:t>to facilitate the work.</w:t>
      </w:r>
    </w:p>
    <w:p w14:paraId="59678329" w14:textId="77777777" w:rsidR="00BF64FA" w:rsidRPr="001D1221" w:rsidRDefault="00BF64FA" w:rsidP="00BF64FA">
      <w:pPr>
        <w:pStyle w:val="ListParagraph"/>
        <w:numPr>
          <w:ilvl w:val="0"/>
          <w:numId w:val="13"/>
        </w:numPr>
        <w:spacing w:after="0" w:line="276" w:lineRule="auto"/>
        <w:contextualSpacing w:val="0"/>
        <w:jc w:val="both"/>
        <w:rPr>
          <w:rFonts w:ascii="Arial" w:hAnsi="Arial" w:cs="Arial"/>
          <w:b/>
          <w:bCs/>
          <w:szCs w:val="24"/>
        </w:rPr>
      </w:pPr>
      <w:r w:rsidRPr="001D1221">
        <w:rPr>
          <w:rFonts w:ascii="Arial" w:hAnsi="Arial" w:cs="Arial"/>
          <w:b/>
          <w:bCs/>
          <w:szCs w:val="24"/>
        </w:rPr>
        <w:t xml:space="preserve">Person Specification </w:t>
      </w:r>
    </w:p>
    <w:p w14:paraId="2B216160" w14:textId="5FE9B199" w:rsidR="00D365C5" w:rsidRDefault="00BF64FA" w:rsidP="00BF64FA">
      <w:pPr>
        <w:spacing w:after="0"/>
        <w:jc w:val="both"/>
      </w:pPr>
      <w:r w:rsidRPr="00121568">
        <w:t xml:space="preserve">The preferred </w:t>
      </w:r>
      <w:r w:rsidR="00D365C5">
        <w:t>candidate</w:t>
      </w:r>
      <w:r w:rsidRPr="00121568">
        <w:t xml:space="preserve"> will meet the following specifications: </w:t>
      </w:r>
    </w:p>
    <w:p w14:paraId="234F2F3F" w14:textId="77777777" w:rsidR="00D365C5" w:rsidRPr="00D365C5" w:rsidRDefault="00D365C5" w:rsidP="00BF64FA">
      <w:pPr>
        <w:spacing w:after="0"/>
        <w:jc w:val="both"/>
        <w:rPr>
          <w:sz w:val="8"/>
          <w:szCs w:val="6"/>
        </w:rPr>
      </w:pPr>
    </w:p>
    <w:p w14:paraId="1F1ECF31" w14:textId="2FD4569C" w:rsidR="00BF64FA" w:rsidRDefault="00BF64FA" w:rsidP="00BF64FA">
      <w:pPr>
        <w:pStyle w:val="ListParagraph"/>
        <w:numPr>
          <w:ilvl w:val="0"/>
          <w:numId w:val="12"/>
        </w:numPr>
        <w:spacing w:after="120"/>
        <w:jc w:val="both"/>
      </w:pPr>
      <w:r w:rsidRPr="00121568">
        <w:t xml:space="preserve">Hold at least a master’s degree in a relevant field with a strong background in research </w:t>
      </w:r>
    </w:p>
    <w:p w14:paraId="000B6688" w14:textId="46CF72C9" w:rsidR="00D365C5" w:rsidRPr="00121568" w:rsidRDefault="00D365C5" w:rsidP="00BF64FA">
      <w:pPr>
        <w:pStyle w:val="ListParagraph"/>
        <w:numPr>
          <w:ilvl w:val="0"/>
          <w:numId w:val="12"/>
        </w:numPr>
        <w:spacing w:after="120"/>
        <w:jc w:val="both"/>
      </w:pPr>
      <w:r>
        <w:t xml:space="preserve">Posses relevant field experience as a practitioner </w:t>
      </w:r>
    </w:p>
    <w:p w14:paraId="7BFF6024" w14:textId="7AD88C67" w:rsidR="00BF64FA" w:rsidRPr="00121568" w:rsidRDefault="00BF64FA" w:rsidP="00BF64FA">
      <w:pPr>
        <w:pStyle w:val="ListParagraph"/>
        <w:numPr>
          <w:ilvl w:val="0"/>
          <w:numId w:val="12"/>
        </w:numPr>
        <w:spacing w:after="120"/>
        <w:jc w:val="both"/>
      </w:pPr>
      <w:r w:rsidRPr="00121568">
        <w:t xml:space="preserve">Have a good understanding of the subject matter of the </w:t>
      </w:r>
      <w:r w:rsidR="00192555">
        <w:t>assignment</w:t>
      </w:r>
      <w:r w:rsidRPr="00121568">
        <w:t xml:space="preserve"> </w:t>
      </w:r>
    </w:p>
    <w:p w14:paraId="0F184103" w14:textId="77777777" w:rsidR="00BF64FA" w:rsidRPr="00121568" w:rsidRDefault="00BF64FA" w:rsidP="00BF64FA">
      <w:pPr>
        <w:pStyle w:val="ListParagraph"/>
        <w:numPr>
          <w:ilvl w:val="0"/>
          <w:numId w:val="12"/>
        </w:numPr>
        <w:spacing w:after="120"/>
        <w:jc w:val="both"/>
      </w:pPr>
      <w:r w:rsidRPr="00121568">
        <w:t xml:space="preserve">Demonstrable record of </w:t>
      </w:r>
      <w:proofErr w:type="gramStart"/>
      <w:r w:rsidRPr="00121568">
        <w:t>past experience</w:t>
      </w:r>
      <w:proofErr w:type="gramEnd"/>
      <w:r w:rsidRPr="00121568">
        <w:t xml:space="preserve"> in similar assignments </w:t>
      </w:r>
    </w:p>
    <w:p w14:paraId="3082D45A" w14:textId="608F3D9B" w:rsidR="00BF64FA" w:rsidRDefault="00BF64FA" w:rsidP="00BF64FA">
      <w:pPr>
        <w:pStyle w:val="ListParagraph"/>
        <w:numPr>
          <w:ilvl w:val="0"/>
          <w:numId w:val="12"/>
        </w:numPr>
        <w:spacing w:after="120"/>
        <w:jc w:val="both"/>
      </w:pPr>
      <w:r w:rsidRPr="00121568">
        <w:t>Strong ability to identify and engage key personalities and/or institutions as may be necessary for the successful execution of the assignment</w:t>
      </w:r>
    </w:p>
    <w:p w14:paraId="723B5C9D" w14:textId="2A572F5D" w:rsidR="00192555" w:rsidRPr="00121568" w:rsidRDefault="00192555" w:rsidP="00BF64FA">
      <w:pPr>
        <w:pStyle w:val="ListParagraph"/>
        <w:numPr>
          <w:ilvl w:val="0"/>
          <w:numId w:val="12"/>
        </w:numPr>
        <w:spacing w:after="120"/>
        <w:jc w:val="both"/>
      </w:pPr>
      <w:r>
        <w:t xml:space="preserve">Demonstratable experience in facilitation and strategy/frameworks/curriculum development </w:t>
      </w:r>
    </w:p>
    <w:p w14:paraId="26194661" w14:textId="1F735F1D" w:rsidR="00BF64FA" w:rsidRDefault="00BF64FA" w:rsidP="00BF64FA">
      <w:pPr>
        <w:pStyle w:val="ListParagraph"/>
        <w:numPr>
          <w:ilvl w:val="0"/>
          <w:numId w:val="12"/>
        </w:numPr>
        <w:spacing w:after="120"/>
        <w:jc w:val="both"/>
      </w:pPr>
      <w:r w:rsidRPr="00121568">
        <w:t xml:space="preserve">Excellent written and communication skills </w:t>
      </w:r>
    </w:p>
    <w:p w14:paraId="2814AA10" w14:textId="77777777" w:rsidR="00D365C5" w:rsidRPr="00121568" w:rsidRDefault="00D365C5" w:rsidP="00D365C5">
      <w:pPr>
        <w:spacing w:after="120"/>
        <w:jc w:val="both"/>
      </w:pPr>
    </w:p>
    <w:p w14:paraId="32ADCE3B" w14:textId="77777777" w:rsidR="00BF64FA" w:rsidRPr="0059285F" w:rsidRDefault="00BF64FA" w:rsidP="00BF64FA">
      <w:pPr>
        <w:spacing w:line="276" w:lineRule="auto"/>
        <w:ind w:left="360"/>
        <w:jc w:val="both"/>
        <w:rPr>
          <w:rFonts w:ascii="Arial" w:hAnsi="Arial" w:cs="Arial"/>
          <w:b/>
          <w:bCs/>
          <w:sz w:val="2"/>
          <w:szCs w:val="2"/>
        </w:rPr>
      </w:pPr>
    </w:p>
    <w:p w14:paraId="50CD82DA" w14:textId="77777777" w:rsidR="00BF64FA" w:rsidRPr="00401D70" w:rsidRDefault="00BF64FA" w:rsidP="00BF64FA">
      <w:pPr>
        <w:pStyle w:val="ListParagraph"/>
        <w:numPr>
          <w:ilvl w:val="0"/>
          <w:numId w:val="13"/>
        </w:numPr>
        <w:spacing w:after="0" w:line="276" w:lineRule="auto"/>
        <w:contextualSpacing w:val="0"/>
        <w:jc w:val="both"/>
        <w:rPr>
          <w:rFonts w:ascii="Arial" w:hAnsi="Arial" w:cs="Arial"/>
          <w:b/>
          <w:bCs/>
          <w:szCs w:val="24"/>
        </w:rPr>
      </w:pPr>
      <w:r w:rsidRPr="00401D70">
        <w:rPr>
          <w:rFonts w:ascii="Arial" w:hAnsi="Arial" w:cs="Arial"/>
          <w:b/>
          <w:bCs/>
          <w:szCs w:val="24"/>
        </w:rPr>
        <w:lastRenderedPageBreak/>
        <w:t xml:space="preserve">Timelines/Duration of Engagement </w:t>
      </w:r>
    </w:p>
    <w:p w14:paraId="7721C1BB" w14:textId="3BA1D154" w:rsidR="00BF64FA" w:rsidRDefault="00BF64FA" w:rsidP="00D365C5">
      <w:pPr>
        <w:spacing w:after="120"/>
        <w:jc w:val="both"/>
      </w:pPr>
      <w:r w:rsidRPr="00121568">
        <w:t>The assignment will be</w:t>
      </w:r>
      <w:r w:rsidR="002F33EB" w:rsidRPr="00121568">
        <w:t xml:space="preserve"> conducted and</w:t>
      </w:r>
      <w:r w:rsidRPr="00121568">
        <w:t xml:space="preserve"> </w:t>
      </w:r>
      <w:r w:rsidR="006A30EC" w:rsidRPr="00121568">
        <w:t xml:space="preserve">completed </w:t>
      </w:r>
      <w:r w:rsidR="00192555" w:rsidRPr="00121568">
        <w:t>by</w:t>
      </w:r>
      <w:r w:rsidR="00192555">
        <w:t xml:space="preserve"> 20</w:t>
      </w:r>
      <w:r w:rsidR="00192555" w:rsidRPr="00D365C5">
        <w:rPr>
          <w:vertAlign w:val="superscript"/>
        </w:rPr>
        <w:t>th</w:t>
      </w:r>
      <w:r w:rsidR="00192555">
        <w:t xml:space="preserve"> February</w:t>
      </w:r>
      <w:r w:rsidRPr="00121568">
        <w:t xml:space="preserve"> 2023. The </w:t>
      </w:r>
      <w:r w:rsidR="00192555">
        <w:t>resource person</w:t>
      </w:r>
      <w:r w:rsidRPr="00121568">
        <w:t xml:space="preserve"> will be expected to use a total of </w:t>
      </w:r>
      <w:r w:rsidR="00192555">
        <w:t>15</w:t>
      </w:r>
      <w:r w:rsidRPr="00121568">
        <w:t xml:space="preserve"> days within this period to complete the assignment. </w:t>
      </w:r>
    </w:p>
    <w:p w14:paraId="506E9650" w14:textId="77777777" w:rsidR="00E87542" w:rsidRPr="00D365C5" w:rsidRDefault="00E87542" w:rsidP="00E87542">
      <w:pPr>
        <w:pStyle w:val="ListParagraph"/>
        <w:spacing w:after="120"/>
        <w:jc w:val="both"/>
        <w:rPr>
          <w:sz w:val="12"/>
          <w:szCs w:val="10"/>
        </w:rPr>
      </w:pPr>
    </w:p>
    <w:p w14:paraId="315D162C" w14:textId="77777777" w:rsidR="00E87542" w:rsidRPr="00E87542" w:rsidRDefault="00BF64FA" w:rsidP="00E87542">
      <w:pPr>
        <w:pStyle w:val="ListParagraph"/>
        <w:numPr>
          <w:ilvl w:val="0"/>
          <w:numId w:val="13"/>
        </w:numPr>
        <w:spacing w:after="120" w:line="276" w:lineRule="auto"/>
        <w:ind w:left="360"/>
        <w:contextualSpacing w:val="0"/>
        <w:jc w:val="both"/>
      </w:pPr>
      <w:r w:rsidRPr="00E87542">
        <w:rPr>
          <w:rFonts w:ascii="Arial" w:hAnsi="Arial" w:cs="Arial"/>
          <w:b/>
          <w:bCs/>
          <w:szCs w:val="24"/>
        </w:rPr>
        <w:t>How to Apply</w:t>
      </w:r>
    </w:p>
    <w:p w14:paraId="5B43BD21" w14:textId="6B1145D2" w:rsidR="00D365C5" w:rsidRDefault="00BF64FA" w:rsidP="00E87542">
      <w:pPr>
        <w:spacing w:after="120" w:line="276" w:lineRule="auto"/>
        <w:jc w:val="both"/>
      </w:pPr>
      <w:r w:rsidRPr="00121568">
        <w:t xml:space="preserve">Interested and qualified applicants should submit </w:t>
      </w:r>
      <w:r w:rsidR="00477984">
        <w:t xml:space="preserve">a CV and </w:t>
      </w:r>
      <w:r w:rsidRPr="00121568">
        <w:t xml:space="preserve">an Expression of Interest </w:t>
      </w:r>
      <w:r w:rsidR="00D365C5">
        <w:t xml:space="preserve">(EOI) </w:t>
      </w:r>
      <w:r w:rsidRPr="00121568">
        <w:t>of not more than t</w:t>
      </w:r>
      <w:r w:rsidR="00A91026">
        <w:t>wo</w:t>
      </w:r>
      <w:r w:rsidRPr="00121568">
        <w:t xml:space="preserve"> pages to: Ms Eunice Agbenyadzi (</w:t>
      </w:r>
      <w:hyperlink r:id="rId10" w:history="1">
        <w:r w:rsidRPr="00121568">
          <w:t>EAgbenyadzi@star-ghana.org</w:t>
        </w:r>
      </w:hyperlink>
      <w:r w:rsidRPr="00121568">
        <w:t>)</w:t>
      </w:r>
      <w:r w:rsidR="00D365C5">
        <w:t>. The EOI should detail:</w:t>
      </w:r>
    </w:p>
    <w:p w14:paraId="19A5E692" w14:textId="77777777" w:rsidR="00D365C5" w:rsidRDefault="00D365C5" w:rsidP="00D365C5">
      <w:pPr>
        <w:pStyle w:val="ListParagraph"/>
        <w:numPr>
          <w:ilvl w:val="0"/>
          <w:numId w:val="12"/>
        </w:numPr>
        <w:spacing w:after="120" w:line="276" w:lineRule="auto"/>
        <w:jc w:val="both"/>
      </w:pPr>
      <w:r>
        <w:t xml:space="preserve">The applicant’s understanding of the assignment </w:t>
      </w:r>
    </w:p>
    <w:p w14:paraId="649D8180" w14:textId="77777777" w:rsidR="00D365C5" w:rsidRDefault="00D365C5" w:rsidP="00D365C5">
      <w:pPr>
        <w:pStyle w:val="ListParagraph"/>
        <w:numPr>
          <w:ilvl w:val="0"/>
          <w:numId w:val="12"/>
        </w:numPr>
        <w:spacing w:after="120" w:line="276" w:lineRule="auto"/>
        <w:jc w:val="both"/>
      </w:pPr>
      <w:r>
        <w:t xml:space="preserve">Proposed approach to the assignment </w:t>
      </w:r>
    </w:p>
    <w:p w14:paraId="20180A27" w14:textId="77777777" w:rsidR="00D365C5" w:rsidRDefault="00D365C5" w:rsidP="00D365C5">
      <w:pPr>
        <w:pStyle w:val="ListParagraph"/>
        <w:numPr>
          <w:ilvl w:val="0"/>
          <w:numId w:val="12"/>
        </w:numPr>
        <w:spacing w:after="120" w:line="276" w:lineRule="auto"/>
        <w:jc w:val="both"/>
      </w:pPr>
      <w:r>
        <w:t xml:space="preserve">Applicant’s technical qualifications </w:t>
      </w:r>
    </w:p>
    <w:p w14:paraId="3CB92356" w14:textId="77777777" w:rsidR="00D365C5" w:rsidRDefault="00D365C5" w:rsidP="00D365C5">
      <w:pPr>
        <w:pStyle w:val="ListParagraph"/>
        <w:numPr>
          <w:ilvl w:val="0"/>
          <w:numId w:val="12"/>
        </w:numPr>
        <w:spacing w:after="120" w:line="276" w:lineRule="auto"/>
        <w:jc w:val="both"/>
      </w:pPr>
      <w:r>
        <w:t xml:space="preserve">Proposed workplan and </w:t>
      </w:r>
    </w:p>
    <w:p w14:paraId="7FFB1426" w14:textId="1B3F56ED" w:rsidR="00BF64FA" w:rsidRDefault="00D365C5" w:rsidP="00D365C5">
      <w:pPr>
        <w:pStyle w:val="ListParagraph"/>
        <w:numPr>
          <w:ilvl w:val="0"/>
          <w:numId w:val="12"/>
        </w:numPr>
        <w:spacing w:after="120" w:line="276" w:lineRule="auto"/>
        <w:jc w:val="both"/>
      </w:pPr>
      <w:r>
        <w:t>Reference to similar works by the applicant</w:t>
      </w:r>
    </w:p>
    <w:p w14:paraId="02DDED73" w14:textId="77777777" w:rsidR="00121568" w:rsidRPr="00121568" w:rsidRDefault="00121568" w:rsidP="00121568">
      <w:pPr>
        <w:spacing w:after="120"/>
        <w:ind w:left="360"/>
        <w:jc w:val="both"/>
      </w:pPr>
    </w:p>
    <w:p w14:paraId="5E4105D1" w14:textId="77777777" w:rsidR="00BF64FA" w:rsidRPr="00121568" w:rsidRDefault="00BF64FA" w:rsidP="00121568">
      <w:pPr>
        <w:spacing w:after="120"/>
        <w:jc w:val="both"/>
      </w:pPr>
    </w:p>
    <w:p w14:paraId="7F890142" w14:textId="77777777" w:rsidR="00BF64FA" w:rsidRPr="000A1B02" w:rsidRDefault="00BF64FA" w:rsidP="00BF64FA">
      <w:pPr>
        <w:spacing w:after="240" w:line="276" w:lineRule="auto"/>
        <w:rPr>
          <w:rFonts w:ascii="Arial" w:hAnsi="Arial" w:cs="Arial"/>
          <w:szCs w:val="24"/>
        </w:rPr>
      </w:pPr>
    </w:p>
    <w:p w14:paraId="389EBC10" w14:textId="77777777" w:rsidR="00B02AED" w:rsidRDefault="00B02AED"/>
    <w:sectPr w:rsidR="00B02AED" w:rsidSect="0082533E">
      <w:headerReference w:type="default" r:id="rId11"/>
      <w:pgSz w:w="11906" w:h="16838"/>
      <w:pgMar w:top="948"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AF5B" w14:textId="77777777" w:rsidR="00B96528" w:rsidRDefault="00B96528" w:rsidP="0082533E">
      <w:pPr>
        <w:spacing w:after="0" w:line="240" w:lineRule="auto"/>
      </w:pPr>
      <w:r>
        <w:separator/>
      </w:r>
    </w:p>
  </w:endnote>
  <w:endnote w:type="continuationSeparator" w:id="0">
    <w:p w14:paraId="0CB6E08E" w14:textId="77777777" w:rsidR="00B96528" w:rsidRDefault="00B96528" w:rsidP="0082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Medium">
    <w:charset w:val="00"/>
    <w:family w:val="roman"/>
    <w:pitch w:val="variable"/>
    <w:sig w:usb0="A00000AF" w:usb1="4000205B" w:usb2="00000000" w:usb3="00000000" w:csb0="0000009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BDEE" w14:textId="77777777" w:rsidR="00B96528" w:rsidRDefault="00B96528" w:rsidP="0082533E">
      <w:pPr>
        <w:spacing w:after="0" w:line="240" w:lineRule="auto"/>
      </w:pPr>
      <w:r>
        <w:separator/>
      </w:r>
    </w:p>
  </w:footnote>
  <w:footnote w:type="continuationSeparator" w:id="0">
    <w:p w14:paraId="676F978F" w14:textId="77777777" w:rsidR="00B96528" w:rsidRDefault="00B96528" w:rsidP="0082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D3BA" w14:textId="6CB09301" w:rsidR="0082533E" w:rsidRDefault="0082533E" w:rsidP="0082533E">
    <w:pPr>
      <w:pStyle w:val="Header"/>
      <w:jc w:val="center"/>
    </w:pPr>
    <w:r>
      <w:rPr>
        <w:noProof/>
      </w:rPr>
      <w:drawing>
        <wp:inline distT="0" distB="0" distL="0" distR="0" wp14:anchorId="4D04718B" wp14:editId="2566A50B">
          <wp:extent cx="3676650" cy="1171575"/>
          <wp:effectExtent l="0" t="0" r="0" b="9525"/>
          <wp:docPr id="45" name="Picture 45" descr="Graphical user interface, text&#10;&#10;Description automatically generated">
            <a:extLst xmlns:a="http://schemas.openxmlformats.org/drawingml/2006/main">
              <a:ext uri="{FF2B5EF4-FFF2-40B4-BE49-F238E27FC236}">
                <a16:creationId xmlns:a16="http://schemas.microsoft.com/office/drawing/2014/main" id="{39FA8B12-F569-4456-91B8-28EF368A2C0D}"/>
              </a:ext>
            </a:extLst>
          </wp:docPr>
          <wp:cNvGraphicFramePr/>
          <a:graphic xmlns:a="http://schemas.openxmlformats.org/drawingml/2006/main">
            <a:graphicData uri="http://schemas.openxmlformats.org/drawingml/2006/picture">
              <pic:pic xmlns:pic="http://schemas.openxmlformats.org/drawingml/2006/picture">
                <pic:nvPicPr>
                  <pic:cNvPr id="2" name="Picture 1" descr="Graphical user interface, text&#10;&#10;Description automatically generated">
                    <a:extLst>
                      <a:ext uri="{FF2B5EF4-FFF2-40B4-BE49-F238E27FC236}">
                        <a16:creationId xmlns:a16="http://schemas.microsoft.com/office/drawing/2014/main" id="{39FA8B12-F569-4456-91B8-28EF368A2C0D}"/>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66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9F"/>
    <w:multiLevelType w:val="hybridMultilevel"/>
    <w:tmpl w:val="CC16F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10316"/>
    <w:multiLevelType w:val="hybridMultilevel"/>
    <w:tmpl w:val="361A1058"/>
    <w:lvl w:ilvl="0" w:tplc="9CAE3E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4366"/>
    <w:multiLevelType w:val="hybridMultilevel"/>
    <w:tmpl w:val="42A8A4A2"/>
    <w:lvl w:ilvl="0" w:tplc="A454AF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616D"/>
    <w:multiLevelType w:val="hybridMultilevel"/>
    <w:tmpl w:val="75E07450"/>
    <w:lvl w:ilvl="0" w:tplc="9D9258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5D7B63"/>
    <w:multiLevelType w:val="hybridMultilevel"/>
    <w:tmpl w:val="C01ECD3A"/>
    <w:lvl w:ilvl="0" w:tplc="1BC81A88">
      <w:start w:val="1"/>
      <w:numFmt w:val="bullet"/>
      <w:lvlText w:val="-"/>
      <w:lvlJc w:val="left"/>
      <w:pPr>
        <w:ind w:left="360" w:hanging="360"/>
      </w:pPr>
      <w:rPr>
        <w:rFonts w:ascii="Amasis MT Pro Medium" w:eastAsiaTheme="minorHAnsi" w:hAnsi="Amasis MT Pro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751D0"/>
    <w:multiLevelType w:val="hybridMultilevel"/>
    <w:tmpl w:val="A52AA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311116"/>
    <w:multiLevelType w:val="hybridMultilevel"/>
    <w:tmpl w:val="8878ECA2"/>
    <w:lvl w:ilvl="0" w:tplc="06E024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F91769"/>
    <w:multiLevelType w:val="hybridMultilevel"/>
    <w:tmpl w:val="3AA63A72"/>
    <w:lvl w:ilvl="0" w:tplc="8FD2FA38">
      <w:start w:val="1"/>
      <w:numFmt w:val="decimal"/>
      <w:lvlText w:val="%1."/>
      <w:lvlJc w:val="left"/>
      <w:pPr>
        <w:ind w:left="360" w:hanging="360"/>
      </w:pPr>
      <w:rPr>
        <w:rFonts w:ascii="Amasis MT Pro Medium" w:eastAsiaTheme="minorHAnsi" w:hAnsi="Amasis MT Pro Medium"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4231D"/>
    <w:multiLevelType w:val="hybridMultilevel"/>
    <w:tmpl w:val="5DAAAA90"/>
    <w:lvl w:ilvl="0" w:tplc="1BC81A88">
      <w:start w:val="2"/>
      <w:numFmt w:val="bullet"/>
      <w:lvlText w:val="-"/>
      <w:lvlJc w:val="left"/>
      <w:pPr>
        <w:ind w:left="720" w:hanging="360"/>
      </w:pPr>
      <w:rPr>
        <w:rFonts w:ascii="Amasis MT Pro Medium" w:eastAsiaTheme="minorHAnsi" w:hAnsi="Amasis MT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E503B"/>
    <w:multiLevelType w:val="hybridMultilevel"/>
    <w:tmpl w:val="6D72187C"/>
    <w:lvl w:ilvl="0" w:tplc="1BC81A88">
      <w:start w:val="1"/>
      <w:numFmt w:val="bullet"/>
      <w:lvlText w:val="-"/>
      <w:lvlJc w:val="left"/>
      <w:pPr>
        <w:ind w:left="360" w:hanging="360"/>
      </w:pPr>
      <w:rPr>
        <w:rFonts w:ascii="Amasis MT Pro Medium" w:eastAsiaTheme="minorHAnsi" w:hAnsi="Amasis MT Pro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980C61"/>
    <w:multiLevelType w:val="hybridMultilevel"/>
    <w:tmpl w:val="7FAC7874"/>
    <w:lvl w:ilvl="0" w:tplc="CD746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727F9"/>
    <w:multiLevelType w:val="hybridMultilevel"/>
    <w:tmpl w:val="A0B4B47E"/>
    <w:lvl w:ilvl="0" w:tplc="761C75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CF4619"/>
    <w:multiLevelType w:val="hybridMultilevel"/>
    <w:tmpl w:val="21F2CB32"/>
    <w:lvl w:ilvl="0" w:tplc="1BC81A88">
      <w:start w:val="1"/>
      <w:numFmt w:val="bullet"/>
      <w:lvlText w:val="-"/>
      <w:lvlJc w:val="left"/>
      <w:pPr>
        <w:ind w:left="720" w:hanging="360"/>
      </w:pPr>
      <w:rPr>
        <w:rFonts w:ascii="Amasis MT Pro Medium" w:eastAsiaTheme="minorHAnsi" w:hAnsi="Amasis MT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A1CD3"/>
    <w:multiLevelType w:val="multilevel"/>
    <w:tmpl w:val="19204B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2659263">
    <w:abstractNumId w:val="0"/>
  </w:num>
  <w:num w:numId="2" w16cid:durableId="53553826">
    <w:abstractNumId w:val="7"/>
  </w:num>
  <w:num w:numId="3" w16cid:durableId="387730363">
    <w:abstractNumId w:val="12"/>
  </w:num>
  <w:num w:numId="4" w16cid:durableId="693654455">
    <w:abstractNumId w:val="9"/>
  </w:num>
  <w:num w:numId="5" w16cid:durableId="2106026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290649">
    <w:abstractNumId w:val="8"/>
  </w:num>
  <w:num w:numId="7" w16cid:durableId="118914673">
    <w:abstractNumId w:val="6"/>
  </w:num>
  <w:num w:numId="8" w16cid:durableId="1301225555">
    <w:abstractNumId w:val="3"/>
  </w:num>
  <w:num w:numId="9" w16cid:durableId="1556548060">
    <w:abstractNumId w:val="10"/>
  </w:num>
  <w:num w:numId="10" w16cid:durableId="614604636">
    <w:abstractNumId w:val="11"/>
  </w:num>
  <w:num w:numId="11" w16cid:durableId="955985516">
    <w:abstractNumId w:val="4"/>
  </w:num>
  <w:num w:numId="12" w16cid:durableId="249700191">
    <w:abstractNumId w:val="2"/>
  </w:num>
  <w:num w:numId="13" w16cid:durableId="791366754">
    <w:abstractNumId w:val="1"/>
  </w:num>
  <w:num w:numId="14" w16cid:durableId="1892424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12"/>
    <w:rsid w:val="00001912"/>
    <w:rsid w:val="0008164D"/>
    <w:rsid w:val="00081BD7"/>
    <w:rsid w:val="000A6F02"/>
    <w:rsid w:val="000B5BFA"/>
    <w:rsid w:val="000C51C1"/>
    <w:rsid w:val="00121568"/>
    <w:rsid w:val="00132139"/>
    <w:rsid w:val="00137F6F"/>
    <w:rsid w:val="001444E7"/>
    <w:rsid w:val="00165410"/>
    <w:rsid w:val="00192555"/>
    <w:rsid w:val="00194E22"/>
    <w:rsid w:val="001B1A24"/>
    <w:rsid w:val="001B23BF"/>
    <w:rsid w:val="001D7112"/>
    <w:rsid w:val="001E73CB"/>
    <w:rsid w:val="00235DDD"/>
    <w:rsid w:val="0024707F"/>
    <w:rsid w:val="002F33EB"/>
    <w:rsid w:val="00331598"/>
    <w:rsid w:val="0033698A"/>
    <w:rsid w:val="00350BBE"/>
    <w:rsid w:val="00367BED"/>
    <w:rsid w:val="003B147A"/>
    <w:rsid w:val="003C2F8C"/>
    <w:rsid w:val="003D517F"/>
    <w:rsid w:val="003F4AFE"/>
    <w:rsid w:val="0047272F"/>
    <w:rsid w:val="00477984"/>
    <w:rsid w:val="004B1C18"/>
    <w:rsid w:val="004D399C"/>
    <w:rsid w:val="0050041B"/>
    <w:rsid w:val="00574D5D"/>
    <w:rsid w:val="00577BE3"/>
    <w:rsid w:val="00597ABD"/>
    <w:rsid w:val="005B40C3"/>
    <w:rsid w:val="005C3BF1"/>
    <w:rsid w:val="005E4956"/>
    <w:rsid w:val="006151B1"/>
    <w:rsid w:val="00623F88"/>
    <w:rsid w:val="00630A74"/>
    <w:rsid w:val="00694532"/>
    <w:rsid w:val="006A2C49"/>
    <w:rsid w:val="006A30EC"/>
    <w:rsid w:val="006E523A"/>
    <w:rsid w:val="007312D8"/>
    <w:rsid w:val="00750344"/>
    <w:rsid w:val="007536B2"/>
    <w:rsid w:val="0077052C"/>
    <w:rsid w:val="00782081"/>
    <w:rsid w:val="007849B4"/>
    <w:rsid w:val="00787E4B"/>
    <w:rsid w:val="007B4E0D"/>
    <w:rsid w:val="007F5326"/>
    <w:rsid w:val="00816734"/>
    <w:rsid w:val="0082533E"/>
    <w:rsid w:val="00843A19"/>
    <w:rsid w:val="008711DF"/>
    <w:rsid w:val="00892F9B"/>
    <w:rsid w:val="008C6EBF"/>
    <w:rsid w:val="008F38F8"/>
    <w:rsid w:val="00907548"/>
    <w:rsid w:val="009116A4"/>
    <w:rsid w:val="00952CB5"/>
    <w:rsid w:val="00963B9C"/>
    <w:rsid w:val="00963BD3"/>
    <w:rsid w:val="00976AA7"/>
    <w:rsid w:val="009B51E4"/>
    <w:rsid w:val="009B67A3"/>
    <w:rsid w:val="009E2344"/>
    <w:rsid w:val="009E651C"/>
    <w:rsid w:val="009F2978"/>
    <w:rsid w:val="009F744C"/>
    <w:rsid w:val="009F7937"/>
    <w:rsid w:val="00A615FB"/>
    <w:rsid w:val="00A73075"/>
    <w:rsid w:val="00A91026"/>
    <w:rsid w:val="00AC4951"/>
    <w:rsid w:val="00AE1F73"/>
    <w:rsid w:val="00AE3B72"/>
    <w:rsid w:val="00B02AED"/>
    <w:rsid w:val="00B04426"/>
    <w:rsid w:val="00B23B60"/>
    <w:rsid w:val="00B27794"/>
    <w:rsid w:val="00B46DDD"/>
    <w:rsid w:val="00B827C2"/>
    <w:rsid w:val="00B96528"/>
    <w:rsid w:val="00BB4B8D"/>
    <w:rsid w:val="00BE3D33"/>
    <w:rsid w:val="00BE472B"/>
    <w:rsid w:val="00BF64FA"/>
    <w:rsid w:val="00C23687"/>
    <w:rsid w:val="00CC02E2"/>
    <w:rsid w:val="00CC6583"/>
    <w:rsid w:val="00CC72C2"/>
    <w:rsid w:val="00D25611"/>
    <w:rsid w:val="00D365C5"/>
    <w:rsid w:val="00E42A00"/>
    <w:rsid w:val="00E57101"/>
    <w:rsid w:val="00E87542"/>
    <w:rsid w:val="00E90677"/>
    <w:rsid w:val="00E95EB3"/>
    <w:rsid w:val="00EB4FF7"/>
    <w:rsid w:val="00EB5586"/>
    <w:rsid w:val="00F11E13"/>
    <w:rsid w:val="00F24381"/>
    <w:rsid w:val="00F6302E"/>
    <w:rsid w:val="00F77CB7"/>
    <w:rsid w:val="00FC35C5"/>
    <w:rsid w:val="00FD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B5A9C"/>
  <w15:chartTrackingRefBased/>
  <w15:docId w15:val="{7962B939-2DE3-4E77-8A15-DA893329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asis MT Pro Medium" w:eastAsiaTheme="minorHAnsi" w:hAnsi="Amasis MT Pro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BE3D33"/>
    <w:pPr>
      <w:ind w:left="720"/>
      <w:contextualSpacing/>
    </w:pPr>
  </w:style>
  <w:style w:type="paragraph" w:styleId="NormalWeb">
    <w:name w:val="Normal (Web)"/>
    <w:basedOn w:val="Normal"/>
    <w:uiPriority w:val="99"/>
    <w:semiHidden/>
    <w:unhideWhenUsed/>
    <w:rsid w:val="001B23B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37F6F"/>
    <w:rPr>
      <w:sz w:val="16"/>
      <w:szCs w:val="16"/>
    </w:rPr>
  </w:style>
  <w:style w:type="paragraph" w:styleId="CommentText">
    <w:name w:val="annotation text"/>
    <w:basedOn w:val="Normal"/>
    <w:link w:val="CommentTextChar"/>
    <w:uiPriority w:val="99"/>
    <w:unhideWhenUsed/>
    <w:rsid w:val="00137F6F"/>
    <w:pPr>
      <w:spacing w:line="240" w:lineRule="auto"/>
    </w:pPr>
    <w:rPr>
      <w:sz w:val="20"/>
      <w:szCs w:val="20"/>
    </w:rPr>
  </w:style>
  <w:style w:type="character" w:customStyle="1" w:styleId="CommentTextChar">
    <w:name w:val="Comment Text Char"/>
    <w:basedOn w:val="DefaultParagraphFont"/>
    <w:link w:val="CommentText"/>
    <w:uiPriority w:val="99"/>
    <w:rsid w:val="00137F6F"/>
    <w:rPr>
      <w:sz w:val="20"/>
      <w:szCs w:val="20"/>
    </w:rPr>
  </w:style>
  <w:style w:type="paragraph" w:styleId="CommentSubject">
    <w:name w:val="annotation subject"/>
    <w:basedOn w:val="CommentText"/>
    <w:next w:val="CommentText"/>
    <w:link w:val="CommentSubjectChar"/>
    <w:uiPriority w:val="99"/>
    <w:semiHidden/>
    <w:unhideWhenUsed/>
    <w:rsid w:val="00137F6F"/>
    <w:rPr>
      <w:b/>
      <w:bCs/>
    </w:rPr>
  </w:style>
  <w:style w:type="character" w:customStyle="1" w:styleId="CommentSubjectChar">
    <w:name w:val="Comment Subject Char"/>
    <w:basedOn w:val="CommentTextChar"/>
    <w:link w:val="CommentSubject"/>
    <w:uiPriority w:val="99"/>
    <w:semiHidden/>
    <w:rsid w:val="00137F6F"/>
    <w:rPr>
      <w:b/>
      <w:bCs/>
      <w:sz w:val="20"/>
      <w:szCs w:val="20"/>
    </w:rPr>
  </w:style>
  <w:style w:type="table" w:styleId="TableGrid">
    <w:name w:val="Table Grid"/>
    <w:basedOn w:val="TableNormal"/>
    <w:uiPriority w:val="39"/>
    <w:rsid w:val="00B0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BF64FA"/>
  </w:style>
  <w:style w:type="character" w:styleId="Hyperlink">
    <w:name w:val="Hyperlink"/>
    <w:basedOn w:val="DefaultParagraphFont"/>
    <w:uiPriority w:val="99"/>
    <w:unhideWhenUsed/>
    <w:rsid w:val="00BF64FA"/>
    <w:rPr>
      <w:color w:val="0563C1" w:themeColor="hyperlink"/>
      <w:u w:val="single"/>
    </w:rPr>
  </w:style>
  <w:style w:type="paragraph" w:styleId="Revision">
    <w:name w:val="Revision"/>
    <w:hidden/>
    <w:uiPriority w:val="99"/>
    <w:semiHidden/>
    <w:rsid w:val="00FC35C5"/>
    <w:pPr>
      <w:spacing w:after="0" w:line="240" w:lineRule="auto"/>
    </w:pPr>
  </w:style>
  <w:style w:type="paragraph" w:styleId="Header">
    <w:name w:val="header"/>
    <w:basedOn w:val="Normal"/>
    <w:link w:val="HeaderChar"/>
    <w:uiPriority w:val="99"/>
    <w:unhideWhenUsed/>
    <w:rsid w:val="0082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3E"/>
  </w:style>
  <w:style w:type="paragraph" w:styleId="Footer">
    <w:name w:val="footer"/>
    <w:basedOn w:val="Normal"/>
    <w:link w:val="FooterChar"/>
    <w:uiPriority w:val="99"/>
    <w:unhideWhenUsed/>
    <w:rsid w:val="0082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9572">
      <w:bodyDiv w:val="1"/>
      <w:marLeft w:val="0"/>
      <w:marRight w:val="0"/>
      <w:marTop w:val="0"/>
      <w:marBottom w:val="0"/>
      <w:divBdr>
        <w:top w:val="none" w:sz="0" w:space="0" w:color="auto"/>
        <w:left w:val="none" w:sz="0" w:space="0" w:color="auto"/>
        <w:bottom w:val="none" w:sz="0" w:space="0" w:color="auto"/>
        <w:right w:val="none" w:sz="0" w:space="0" w:color="auto"/>
      </w:divBdr>
    </w:div>
    <w:div w:id="819882815">
      <w:bodyDiv w:val="1"/>
      <w:marLeft w:val="0"/>
      <w:marRight w:val="0"/>
      <w:marTop w:val="0"/>
      <w:marBottom w:val="0"/>
      <w:divBdr>
        <w:top w:val="none" w:sz="0" w:space="0" w:color="auto"/>
        <w:left w:val="none" w:sz="0" w:space="0" w:color="auto"/>
        <w:bottom w:val="none" w:sz="0" w:space="0" w:color="auto"/>
        <w:right w:val="none" w:sz="0" w:space="0" w:color="auto"/>
      </w:divBdr>
    </w:div>
    <w:div w:id="1461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Agbenyadzi@star-ghan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F1C9B4766EE419243831312218221" ma:contentTypeVersion="11" ma:contentTypeDescription="Create a new document." ma:contentTypeScope="" ma:versionID="d2b9699da0180c7c1d7e349a4590751a">
  <xsd:schema xmlns:xsd="http://www.w3.org/2001/XMLSchema" xmlns:xs="http://www.w3.org/2001/XMLSchema" xmlns:p="http://schemas.microsoft.com/office/2006/metadata/properties" xmlns:ns3="a33b5401-867a-420f-8813-5fa9addff0d2" xmlns:ns4="44ee5e7f-68df-40fb-8ab1-5c773203727e" targetNamespace="http://schemas.microsoft.com/office/2006/metadata/properties" ma:root="true" ma:fieldsID="293e8ece9f9544d95cffdfbba1df5ddd" ns3:_="" ns4:_="">
    <xsd:import namespace="a33b5401-867a-420f-8813-5fa9addff0d2"/>
    <xsd:import namespace="44ee5e7f-68df-40fb-8ab1-5c7732037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5401-867a-420f-8813-5fa9addff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e5e7f-68df-40fb-8ab1-5c7732037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33b5401-867a-420f-8813-5fa9addff0d2" xsi:nil="true"/>
  </documentManagement>
</p:properties>
</file>

<file path=customXml/itemProps1.xml><?xml version="1.0" encoding="utf-8"?>
<ds:datastoreItem xmlns:ds="http://schemas.openxmlformats.org/officeDocument/2006/customXml" ds:itemID="{E186CBC8-C031-4A20-A6C0-1206D36D412A}">
  <ds:schemaRefs>
    <ds:schemaRef ds:uri="http://schemas.microsoft.com/sharepoint/v3/contenttype/forms"/>
  </ds:schemaRefs>
</ds:datastoreItem>
</file>

<file path=customXml/itemProps2.xml><?xml version="1.0" encoding="utf-8"?>
<ds:datastoreItem xmlns:ds="http://schemas.openxmlformats.org/officeDocument/2006/customXml" ds:itemID="{4284ED99-5C04-401B-8DF2-A2CCC4D0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5401-867a-420f-8813-5fa9addff0d2"/>
    <ds:schemaRef ds:uri="44ee5e7f-68df-40fb-8ab1-5c7732037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89BB-C5A3-4C80-89A0-7065F2C4D952}">
  <ds:schemaRefs>
    <ds:schemaRef ds:uri="http://schemas.microsoft.com/office/2006/metadata/properties"/>
    <ds:schemaRef ds:uri="http://schemas.microsoft.com/office/infopath/2007/PartnerControls"/>
    <ds:schemaRef ds:uri="a33b5401-867a-420f-8813-5fa9addff0d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Amidu Ibrahim-Tanko</dc:creator>
  <cp:keywords/>
  <dc:description/>
  <cp:lastModifiedBy>Aaron Atimpe</cp:lastModifiedBy>
  <cp:revision>2</cp:revision>
  <dcterms:created xsi:type="dcterms:W3CDTF">2023-01-17T16:51:00Z</dcterms:created>
  <dcterms:modified xsi:type="dcterms:W3CDTF">2023-01-17T16:51:00Z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0x0101007DFF1C9B4766EE419243831312218221</vt:lpwstr>
  </property>
</Properties>
</file>